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53E4F844">
      <w:pPr>
        <w:snapToGrid/>
        <w:spacing w:before="0" w:beforeAutospacing="0" w:after="0" w:afterAutospacing="0" w:line="240" w:lineRule="auto"/>
        <w:jc w:val="center"/>
        <w:textAlignment w:val="baseline"/>
        <w:rPr>
          <w:rFonts w:hint="eastAsia" w:ascii="仿宋_GB2312" w:hAnsi="仿宋_GB2312" w:eastAsia="仿宋_GB2312" w:cs="仿宋_GB2312"/>
          <w:b w:val="0"/>
          <w:i w:val="0"/>
          <w:caps w:val="0"/>
          <w:spacing w:val="0"/>
          <w:w w:val="100"/>
          <w:sz w:val="28"/>
          <w:szCs w:val="28"/>
          <w:lang w:val="en-US" w:eastAsia="zh-CN"/>
        </w:rPr>
      </w:pPr>
      <w:r>
        <w:rPr>
          <w:rFonts w:hint="eastAsia" w:ascii="仿宋_GB2312" w:hAnsi="仿宋_GB2312" w:eastAsia="仿宋_GB2312" w:cs="仿宋_GB2312"/>
          <w:b w:val="0"/>
          <w:i w:val="0"/>
          <w:caps w:val="0"/>
          <w:spacing w:val="0"/>
          <w:w w:val="100"/>
          <w:sz w:val="28"/>
          <w:szCs w:val="28"/>
          <w:lang w:val="en-US" w:eastAsia="zh-CN"/>
        </w:rPr>
        <w:t>车辆基本信息</w:t>
      </w:r>
    </w:p>
    <w:tbl>
      <w:tblPr>
        <w:tblStyle w:val="3"/>
        <w:tblW w:w="8986" w:type="dxa"/>
        <w:tblInd w:w="271" w:type="dxa"/>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autofit"/>
        <w:tblCellMar>
          <w:top w:w="0" w:type="dxa"/>
          <w:left w:w="108" w:type="dxa"/>
          <w:bottom w:w="0" w:type="dxa"/>
          <w:right w:w="108" w:type="dxa"/>
        </w:tblCellMar>
      </w:tblPr>
      <w:tblGrid>
        <w:gridCol w:w="1494"/>
        <w:gridCol w:w="1453"/>
        <w:gridCol w:w="1199"/>
        <w:gridCol w:w="1699"/>
        <w:gridCol w:w="1418"/>
        <w:gridCol w:w="1723"/>
      </w:tblGrid>
      <w:tr w14:paraId="3CF7E9C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6" w:hRule="atLeast"/>
        </w:trPr>
        <w:tc>
          <w:tcPr>
            <w:tcW w:w="1494" w:type="dxa"/>
            <w:vAlign w:val="center"/>
          </w:tcPr>
          <w:p w14:paraId="680F94F4">
            <w:pPr>
              <w:snapToGrid/>
              <w:spacing w:before="0" w:beforeAutospacing="0" w:after="0" w:afterAutospacing="0" w:line="240" w:lineRule="auto"/>
              <w:jc w:val="center"/>
              <w:textAlignment w:val="baseline"/>
              <w:rPr>
                <w:rFonts w:hint="eastAsia" w:ascii="仿宋_GB2312" w:hAnsi="仿宋_GB2312" w:eastAsia="仿宋_GB2312" w:cs="仿宋_GB2312"/>
                <w:b w:val="0"/>
                <w:i w:val="0"/>
                <w:caps w:val="0"/>
                <w:spacing w:val="0"/>
                <w:w w:val="100"/>
                <w:sz w:val="24"/>
                <w:szCs w:val="24"/>
                <w:vertAlign w:val="baseline"/>
                <w:lang w:val="en-US" w:eastAsia="zh-CN"/>
              </w:rPr>
            </w:pPr>
            <w:r>
              <w:rPr>
                <w:rFonts w:hint="eastAsia" w:ascii="仿宋_GB2312" w:hAnsi="仿宋_GB2312" w:eastAsia="仿宋_GB2312" w:cs="仿宋_GB2312"/>
                <w:b w:val="0"/>
                <w:i w:val="0"/>
                <w:caps w:val="0"/>
                <w:spacing w:val="0"/>
                <w:w w:val="100"/>
                <w:sz w:val="24"/>
                <w:szCs w:val="24"/>
                <w:lang w:val="en-US" w:eastAsia="zh-CN"/>
              </w:rPr>
              <w:t>车牌号码</w:t>
            </w:r>
          </w:p>
        </w:tc>
        <w:tc>
          <w:tcPr>
            <w:tcW w:w="1453" w:type="dxa"/>
            <w:vAlign w:val="center"/>
          </w:tcPr>
          <w:p w14:paraId="22A95DAA">
            <w:pPr>
              <w:snapToGrid/>
              <w:spacing w:before="0" w:beforeAutospacing="0" w:after="0" w:afterAutospacing="0" w:line="240" w:lineRule="auto"/>
              <w:jc w:val="center"/>
              <w:textAlignment w:val="baseline"/>
              <w:rPr>
                <w:rFonts w:hint="default" w:ascii="仿宋_GB2312" w:hAnsi="仿宋_GB2312" w:eastAsia="仿宋_GB2312" w:cs="仿宋_GB2312"/>
                <w:b w:val="0"/>
                <w:i w:val="0"/>
                <w:caps w:val="0"/>
                <w:spacing w:val="0"/>
                <w:w w:val="100"/>
                <w:sz w:val="24"/>
                <w:szCs w:val="24"/>
                <w:vertAlign w:val="baseline"/>
                <w:lang w:val="en-US" w:eastAsia="zh-CN"/>
              </w:rPr>
            </w:pPr>
            <w:r>
              <w:rPr>
                <w:rFonts w:hint="eastAsia" w:ascii="仿宋_GB2312" w:hAnsi="仿宋_GB2312" w:eastAsia="仿宋_GB2312" w:cs="仿宋_GB2312"/>
                <w:b w:val="0"/>
                <w:i w:val="0"/>
                <w:caps w:val="0"/>
                <w:spacing w:val="0"/>
                <w:w w:val="100"/>
                <w:sz w:val="24"/>
                <w:szCs w:val="24"/>
                <w:vertAlign w:val="baseline"/>
                <w:lang w:val="en-US" w:eastAsia="zh-CN"/>
              </w:rPr>
              <w:t>鲁B796CH</w:t>
            </w:r>
          </w:p>
        </w:tc>
        <w:tc>
          <w:tcPr>
            <w:tcW w:w="1199" w:type="dxa"/>
            <w:vAlign w:val="center"/>
          </w:tcPr>
          <w:p w14:paraId="0264C5C6">
            <w:pPr>
              <w:snapToGrid/>
              <w:spacing w:before="0" w:beforeAutospacing="0" w:after="0" w:afterAutospacing="0" w:line="240" w:lineRule="auto"/>
              <w:jc w:val="center"/>
              <w:textAlignment w:val="baseline"/>
              <w:rPr>
                <w:rFonts w:hint="eastAsia" w:ascii="仿宋_GB2312" w:hAnsi="仿宋_GB2312" w:eastAsia="仿宋_GB2312" w:cs="仿宋_GB2312"/>
                <w:b w:val="0"/>
                <w:i w:val="0"/>
                <w:caps w:val="0"/>
                <w:spacing w:val="0"/>
                <w:w w:val="100"/>
                <w:sz w:val="24"/>
                <w:szCs w:val="24"/>
                <w:vertAlign w:val="baseline"/>
                <w:lang w:val="en-US" w:eastAsia="zh-CN"/>
              </w:rPr>
            </w:pPr>
            <w:r>
              <w:rPr>
                <w:rFonts w:hint="eastAsia" w:ascii="仿宋_GB2312" w:hAnsi="仿宋_GB2312" w:eastAsia="仿宋_GB2312" w:cs="仿宋_GB2312"/>
                <w:b w:val="0"/>
                <w:i w:val="0"/>
                <w:caps w:val="0"/>
                <w:spacing w:val="0"/>
                <w:w w:val="100"/>
                <w:sz w:val="24"/>
                <w:szCs w:val="24"/>
                <w:lang w:val="en-US" w:eastAsia="zh-CN"/>
              </w:rPr>
              <w:t>车辆类型</w:t>
            </w:r>
          </w:p>
        </w:tc>
        <w:tc>
          <w:tcPr>
            <w:tcW w:w="1699" w:type="dxa"/>
            <w:vAlign w:val="center"/>
          </w:tcPr>
          <w:p w14:paraId="2ACC4552">
            <w:pPr>
              <w:snapToGrid/>
              <w:spacing w:before="0" w:beforeAutospacing="0" w:after="0" w:afterAutospacing="0" w:line="240" w:lineRule="auto"/>
              <w:jc w:val="center"/>
              <w:textAlignment w:val="baseline"/>
              <w:rPr>
                <w:rFonts w:hint="default" w:ascii="仿宋_GB2312" w:hAnsi="仿宋_GB2312" w:eastAsia="仿宋_GB2312" w:cs="仿宋_GB2312"/>
                <w:b w:val="0"/>
                <w:i w:val="0"/>
                <w:caps w:val="0"/>
                <w:spacing w:val="0"/>
                <w:w w:val="100"/>
                <w:sz w:val="24"/>
                <w:szCs w:val="24"/>
                <w:vertAlign w:val="baseline"/>
                <w:lang w:val="en-US" w:eastAsia="zh-CN"/>
              </w:rPr>
            </w:pPr>
            <w:r>
              <w:rPr>
                <w:rFonts w:hint="eastAsia" w:ascii="仿宋_GB2312" w:hAnsi="仿宋_GB2312" w:eastAsia="仿宋_GB2312" w:cs="仿宋_GB2312"/>
                <w:b w:val="0"/>
                <w:i w:val="0"/>
                <w:caps w:val="0"/>
                <w:spacing w:val="0"/>
                <w:w w:val="100"/>
                <w:sz w:val="24"/>
                <w:szCs w:val="24"/>
                <w:vertAlign w:val="baseline"/>
                <w:lang w:val="en-US" w:eastAsia="zh-CN"/>
              </w:rPr>
              <w:t>小型普通客车</w:t>
            </w:r>
          </w:p>
        </w:tc>
        <w:tc>
          <w:tcPr>
            <w:tcW w:w="1418" w:type="dxa"/>
            <w:vAlign w:val="center"/>
          </w:tcPr>
          <w:p w14:paraId="393BA98D">
            <w:pPr>
              <w:snapToGrid/>
              <w:spacing w:before="0" w:beforeAutospacing="0" w:after="0" w:afterAutospacing="0" w:line="240" w:lineRule="auto"/>
              <w:jc w:val="center"/>
              <w:textAlignment w:val="baseline"/>
              <w:rPr>
                <w:rFonts w:hint="eastAsia" w:ascii="仿宋_GB2312" w:hAnsi="仿宋_GB2312" w:eastAsia="仿宋_GB2312" w:cs="仿宋_GB2312"/>
                <w:b w:val="0"/>
                <w:i w:val="0"/>
                <w:caps w:val="0"/>
                <w:spacing w:val="0"/>
                <w:w w:val="100"/>
                <w:sz w:val="24"/>
                <w:szCs w:val="24"/>
                <w:vertAlign w:val="baseline"/>
                <w:lang w:val="en-US" w:eastAsia="zh-CN"/>
              </w:rPr>
            </w:pPr>
            <w:r>
              <w:rPr>
                <w:rFonts w:hint="eastAsia" w:ascii="仿宋_GB2312" w:hAnsi="仿宋_GB2312" w:eastAsia="仿宋_GB2312" w:cs="仿宋_GB2312"/>
                <w:b w:val="0"/>
                <w:i w:val="0"/>
                <w:caps w:val="0"/>
                <w:spacing w:val="0"/>
                <w:w w:val="100"/>
                <w:sz w:val="24"/>
                <w:szCs w:val="24"/>
                <w:lang w:val="en-US" w:eastAsia="zh-CN"/>
              </w:rPr>
              <w:t>厂牌型号</w:t>
            </w:r>
          </w:p>
        </w:tc>
        <w:tc>
          <w:tcPr>
            <w:tcW w:w="1723" w:type="dxa"/>
            <w:vAlign w:val="center"/>
          </w:tcPr>
          <w:p w14:paraId="5EDF6BB2">
            <w:pPr>
              <w:snapToGrid/>
              <w:spacing w:before="0" w:beforeAutospacing="0" w:after="0" w:afterAutospacing="0" w:line="240" w:lineRule="auto"/>
              <w:jc w:val="center"/>
              <w:textAlignment w:val="baseline"/>
              <w:rPr>
                <w:rFonts w:hint="default" w:ascii="仿宋_GB2312" w:hAnsi="仿宋_GB2312" w:eastAsia="仿宋_GB2312" w:cs="仿宋_GB2312"/>
                <w:b w:val="0"/>
                <w:i w:val="0"/>
                <w:caps w:val="0"/>
                <w:spacing w:val="0"/>
                <w:w w:val="100"/>
                <w:sz w:val="24"/>
                <w:szCs w:val="24"/>
                <w:vertAlign w:val="baseline"/>
                <w:lang w:val="en-US" w:eastAsia="zh-CN"/>
              </w:rPr>
            </w:pPr>
            <w:r>
              <w:rPr>
                <w:rFonts w:hint="eastAsia" w:ascii="仿宋_GB2312" w:hAnsi="仿宋_GB2312" w:eastAsia="仿宋_GB2312" w:cs="仿宋_GB2312"/>
                <w:b w:val="0"/>
                <w:i w:val="0"/>
                <w:caps w:val="0"/>
                <w:spacing w:val="0"/>
                <w:w w:val="100"/>
                <w:sz w:val="24"/>
                <w:szCs w:val="24"/>
                <w:vertAlign w:val="baseline"/>
                <w:lang w:val="en-US" w:eastAsia="zh-CN"/>
              </w:rPr>
              <w:t>丰田TV6460GLX-1</w:t>
            </w:r>
          </w:p>
        </w:tc>
      </w:tr>
      <w:tr w14:paraId="14AD6975">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31" w:hRule="atLeast"/>
        </w:trPr>
        <w:tc>
          <w:tcPr>
            <w:tcW w:w="1494" w:type="dxa"/>
          </w:tcPr>
          <w:p w14:paraId="35371FB9">
            <w:pPr>
              <w:snapToGrid/>
              <w:spacing w:before="0" w:beforeAutospacing="0" w:after="0" w:afterAutospacing="0" w:line="240" w:lineRule="auto"/>
              <w:jc w:val="center"/>
              <w:textAlignment w:val="baseline"/>
              <w:rPr>
                <w:rFonts w:hint="eastAsia" w:ascii="仿宋_GB2312" w:hAnsi="仿宋_GB2312" w:eastAsia="仿宋_GB2312" w:cs="仿宋_GB2312"/>
                <w:b w:val="0"/>
                <w:i w:val="0"/>
                <w:caps w:val="0"/>
                <w:spacing w:val="0"/>
                <w:w w:val="100"/>
                <w:sz w:val="24"/>
                <w:szCs w:val="24"/>
                <w:vertAlign w:val="baseline"/>
                <w:lang w:val="en-US" w:eastAsia="zh-CN"/>
              </w:rPr>
            </w:pPr>
            <w:r>
              <w:rPr>
                <w:rFonts w:hint="eastAsia" w:ascii="仿宋_GB2312" w:hAnsi="仿宋_GB2312" w:eastAsia="仿宋_GB2312" w:cs="仿宋_GB2312"/>
                <w:b w:val="0"/>
                <w:i w:val="0"/>
                <w:caps w:val="0"/>
                <w:spacing w:val="0"/>
                <w:w w:val="100"/>
                <w:sz w:val="24"/>
                <w:szCs w:val="24"/>
                <w:lang w:val="en-US" w:eastAsia="zh-CN"/>
              </w:rPr>
              <w:t>初登日期</w:t>
            </w:r>
          </w:p>
        </w:tc>
        <w:tc>
          <w:tcPr>
            <w:tcW w:w="1453" w:type="dxa"/>
          </w:tcPr>
          <w:p w14:paraId="75868E3E">
            <w:pPr>
              <w:snapToGrid/>
              <w:spacing w:before="0" w:beforeAutospacing="0" w:after="0" w:afterAutospacing="0" w:line="240" w:lineRule="auto"/>
              <w:jc w:val="center"/>
              <w:textAlignment w:val="baseline"/>
              <w:rPr>
                <w:rFonts w:hint="default" w:ascii="仿宋_GB2312" w:hAnsi="仿宋_GB2312" w:eastAsia="仿宋_GB2312" w:cs="仿宋_GB2312"/>
                <w:b w:val="0"/>
                <w:i w:val="0"/>
                <w:caps w:val="0"/>
                <w:spacing w:val="0"/>
                <w:w w:val="100"/>
                <w:sz w:val="24"/>
                <w:szCs w:val="24"/>
                <w:vertAlign w:val="baseline"/>
                <w:lang w:val="en-US" w:eastAsia="zh-CN"/>
              </w:rPr>
            </w:pPr>
            <w:r>
              <w:rPr>
                <w:rFonts w:hint="eastAsia" w:ascii="仿宋_GB2312" w:hAnsi="仿宋_GB2312" w:eastAsia="仿宋_GB2312" w:cs="仿宋_GB2312"/>
                <w:b w:val="0"/>
                <w:i w:val="0"/>
                <w:caps w:val="0"/>
                <w:spacing w:val="0"/>
                <w:w w:val="100"/>
                <w:sz w:val="24"/>
                <w:szCs w:val="24"/>
                <w:vertAlign w:val="baseline"/>
                <w:lang w:val="en-US" w:eastAsia="zh-CN"/>
              </w:rPr>
              <w:t>2010.04.08</w:t>
            </w:r>
          </w:p>
        </w:tc>
        <w:tc>
          <w:tcPr>
            <w:tcW w:w="1199" w:type="dxa"/>
          </w:tcPr>
          <w:p w14:paraId="271F6698">
            <w:pPr>
              <w:snapToGrid/>
              <w:spacing w:before="0" w:beforeAutospacing="0" w:after="0" w:afterAutospacing="0" w:line="240" w:lineRule="auto"/>
              <w:jc w:val="center"/>
              <w:textAlignment w:val="baseline"/>
              <w:rPr>
                <w:rFonts w:hint="eastAsia" w:ascii="仿宋_GB2312" w:hAnsi="仿宋_GB2312" w:eastAsia="仿宋_GB2312" w:cs="仿宋_GB2312"/>
                <w:b w:val="0"/>
                <w:i w:val="0"/>
                <w:caps w:val="0"/>
                <w:spacing w:val="0"/>
                <w:w w:val="100"/>
                <w:sz w:val="24"/>
                <w:szCs w:val="24"/>
                <w:vertAlign w:val="baseline"/>
                <w:lang w:val="en-US" w:eastAsia="zh-CN"/>
              </w:rPr>
            </w:pPr>
            <w:r>
              <w:rPr>
                <w:rFonts w:hint="eastAsia" w:ascii="仿宋_GB2312" w:hAnsi="仿宋_GB2312" w:eastAsia="仿宋_GB2312" w:cs="仿宋_GB2312"/>
                <w:b w:val="0"/>
                <w:i w:val="0"/>
                <w:caps w:val="0"/>
                <w:spacing w:val="0"/>
                <w:w w:val="100"/>
                <w:sz w:val="24"/>
                <w:szCs w:val="24"/>
                <w:lang w:val="en-US" w:eastAsia="zh-CN"/>
              </w:rPr>
              <w:t>出厂日期</w:t>
            </w:r>
          </w:p>
        </w:tc>
        <w:tc>
          <w:tcPr>
            <w:tcW w:w="1699" w:type="dxa"/>
          </w:tcPr>
          <w:p w14:paraId="41377077">
            <w:pPr>
              <w:snapToGrid/>
              <w:spacing w:before="0" w:beforeAutospacing="0" w:after="0" w:afterAutospacing="0" w:line="240" w:lineRule="auto"/>
              <w:jc w:val="center"/>
              <w:textAlignment w:val="baseline"/>
              <w:rPr>
                <w:rFonts w:hint="default" w:ascii="仿宋_GB2312" w:hAnsi="仿宋_GB2312" w:eastAsia="仿宋_GB2312" w:cs="仿宋_GB2312"/>
                <w:b w:val="0"/>
                <w:i w:val="0"/>
                <w:caps w:val="0"/>
                <w:spacing w:val="0"/>
                <w:w w:val="100"/>
                <w:sz w:val="24"/>
                <w:szCs w:val="24"/>
                <w:vertAlign w:val="baseline"/>
                <w:lang w:val="en-US" w:eastAsia="zh-CN"/>
              </w:rPr>
            </w:pPr>
            <w:r>
              <w:rPr>
                <w:rFonts w:hint="eastAsia" w:ascii="仿宋_GB2312" w:hAnsi="仿宋_GB2312" w:eastAsia="仿宋_GB2312" w:cs="仿宋_GB2312"/>
                <w:b w:val="0"/>
                <w:i w:val="0"/>
                <w:caps w:val="0"/>
                <w:spacing w:val="0"/>
                <w:w w:val="100"/>
                <w:sz w:val="24"/>
                <w:szCs w:val="24"/>
                <w:vertAlign w:val="baseline"/>
                <w:lang w:val="en-US" w:eastAsia="zh-CN"/>
              </w:rPr>
              <w:t>2010.03.16</w:t>
            </w:r>
          </w:p>
        </w:tc>
        <w:tc>
          <w:tcPr>
            <w:tcW w:w="1418" w:type="dxa"/>
          </w:tcPr>
          <w:p w14:paraId="1BBE0B83">
            <w:pPr>
              <w:snapToGrid/>
              <w:spacing w:before="0" w:beforeAutospacing="0" w:after="0" w:afterAutospacing="0" w:line="240" w:lineRule="auto"/>
              <w:jc w:val="center"/>
              <w:textAlignment w:val="baseline"/>
              <w:rPr>
                <w:rFonts w:hint="eastAsia" w:ascii="仿宋_GB2312" w:hAnsi="仿宋_GB2312" w:eastAsia="仿宋_GB2312" w:cs="仿宋_GB2312"/>
                <w:b w:val="0"/>
                <w:i w:val="0"/>
                <w:caps w:val="0"/>
                <w:spacing w:val="0"/>
                <w:w w:val="100"/>
                <w:sz w:val="24"/>
                <w:szCs w:val="24"/>
                <w:vertAlign w:val="baseline"/>
                <w:lang w:val="en-US" w:eastAsia="zh-CN"/>
              </w:rPr>
            </w:pPr>
            <w:r>
              <w:rPr>
                <w:rFonts w:hint="eastAsia" w:ascii="仿宋_GB2312" w:hAnsi="仿宋_GB2312" w:eastAsia="仿宋_GB2312" w:cs="仿宋_GB2312"/>
                <w:b w:val="0"/>
                <w:i w:val="0"/>
                <w:caps w:val="0"/>
                <w:spacing w:val="0"/>
                <w:w w:val="100"/>
                <w:sz w:val="24"/>
                <w:szCs w:val="24"/>
                <w:lang w:val="en-US" w:eastAsia="zh-CN"/>
              </w:rPr>
              <w:t>年检有效期</w:t>
            </w:r>
          </w:p>
        </w:tc>
        <w:tc>
          <w:tcPr>
            <w:tcW w:w="1723" w:type="dxa"/>
          </w:tcPr>
          <w:p w14:paraId="10418558">
            <w:pPr>
              <w:snapToGrid/>
              <w:spacing w:before="0" w:beforeAutospacing="0" w:after="0" w:afterAutospacing="0" w:line="240" w:lineRule="auto"/>
              <w:jc w:val="center"/>
              <w:textAlignment w:val="baseline"/>
              <w:rPr>
                <w:rFonts w:hint="default" w:ascii="仿宋_GB2312" w:hAnsi="仿宋_GB2312" w:eastAsia="仿宋_GB2312" w:cs="仿宋_GB2312"/>
                <w:b w:val="0"/>
                <w:i w:val="0"/>
                <w:caps w:val="0"/>
                <w:spacing w:val="0"/>
                <w:w w:val="100"/>
                <w:sz w:val="24"/>
                <w:szCs w:val="24"/>
                <w:vertAlign w:val="baseline"/>
                <w:lang w:val="en-US" w:eastAsia="zh-CN"/>
              </w:rPr>
            </w:pPr>
            <w:r>
              <w:rPr>
                <w:rFonts w:hint="eastAsia" w:ascii="仿宋_GB2312" w:hAnsi="仿宋_GB2312" w:eastAsia="仿宋_GB2312" w:cs="仿宋_GB2312"/>
                <w:b w:val="0"/>
                <w:i w:val="0"/>
                <w:caps w:val="0"/>
                <w:spacing w:val="0"/>
                <w:w w:val="100"/>
                <w:sz w:val="24"/>
                <w:szCs w:val="24"/>
                <w:vertAlign w:val="baseline"/>
                <w:lang w:val="en-US" w:eastAsia="zh-CN"/>
              </w:rPr>
              <w:t>2025.04</w:t>
            </w:r>
          </w:p>
        </w:tc>
      </w:tr>
      <w:tr w14:paraId="4C5CE97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72" w:hRule="atLeast"/>
        </w:trPr>
        <w:tc>
          <w:tcPr>
            <w:tcW w:w="1494" w:type="dxa"/>
          </w:tcPr>
          <w:p w14:paraId="4B95BB28">
            <w:pPr>
              <w:snapToGrid/>
              <w:spacing w:before="0" w:beforeAutospacing="0" w:after="0" w:afterAutospacing="0" w:line="240" w:lineRule="auto"/>
              <w:jc w:val="center"/>
              <w:textAlignment w:val="baseline"/>
              <w:rPr>
                <w:rFonts w:hint="eastAsia" w:ascii="仿宋_GB2312" w:hAnsi="仿宋_GB2312" w:eastAsia="仿宋_GB2312" w:cs="仿宋_GB2312"/>
                <w:b w:val="0"/>
                <w:i w:val="0"/>
                <w:caps w:val="0"/>
                <w:spacing w:val="0"/>
                <w:w w:val="100"/>
                <w:sz w:val="24"/>
                <w:szCs w:val="24"/>
                <w:vertAlign w:val="baseline"/>
                <w:lang w:val="en-US" w:eastAsia="zh-CN"/>
              </w:rPr>
            </w:pPr>
            <w:r>
              <w:rPr>
                <w:rFonts w:hint="eastAsia" w:ascii="仿宋_GB2312" w:hAnsi="仿宋_GB2312" w:eastAsia="仿宋_GB2312" w:cs="仿宋_GB2312"/>
                <w:b w:val="0"/>
                <w:i w:val="0"/>
                <w:caps w:val="0"/>
                <w:spacing w:val="0"/>
                <w:w w:val="100"/>
                <w:sz w:val="24"/>
                <w:szCs w:val="24"/>
                <w:lang w:val="en-US" w:eastAsia="zh-CN"/>
              </w:rPr>
              <w:t>使用性质</w:t>
            </w:r>
          </w:p>
        </w:tc>
        <w:tc>
          <w:tcPr>
            <w:tcW w:w="1453" w:type="dxa"/>
          </w:tcPr>
          <w:p w14:paraId="6E0030A9">
            <w:pPr>
              <w:snapToGrid/>
              <w:spacing w:before="0" w:beforeAutospacing="0" w:after="0" w:afterAutospacing="0" w:line="240" w:lineRule="auto"/>
              <w:jc w:val="center"/>
              <w:textAlignment w:val="baseline"/>
              <w:rPr>
                <w:rFonts w:hint="eastAsia" w:ascii="仿宋_GB2312" w:hAnsi="仿宋_GB2312" w:eastAsia="仿宋_GB2312" w:cs="仿宋_GB2312"/>
                <w:b w:val="0"/>
                <w:i w:val="0"/>
                <w:caps w:val="0"/>
                <w:spacing w:val="0"/>
                <w:w w:val="100"/>
                <w:sz w:val="24"/>
                <w:szCs w:val="24"/>
                <w:vertAlign w:val="baseline"/>
                <w:lang w:val="en-US" w:eastAsia="zh-CN"/>
              </w:rPr>
            </w:pPr>
            <w:r>
              <w:rPr>
                <w:rFonts w:hint="eastAsia" w:ascii="仿宋_GB2312" w:hAnsi="仿宋_GB2312" w:eastAsia="仿宋_GB2312" w:cs="仿宋_GB2312"/>
                <w:b w:val="0"/>
                <w:i w:val="0"/>
                <w:caps w:val="0"/>
                <w:spacing w:val="0"/>
                <w:w w:val="100"/>
                <w:sz w:val="24"/>
                <w:szCs w:val="24"/>
                <w:vertAlign w:val="baseline"/>
                <w:lang w:val="en-US" w:eastAsia="zh-CN"/>
              </w:rPr>
              <w:t>非运营</w:t>
            </w:r>
          </w:p>
        </w:tc>
        <w:tc>
          <w:tcPr>
            <w:tcW w:w="1199" w:type="dxa"/>
          </w:tcPr>
          <w:p w14:paraId="0ED81E35">
            <w:pPr>
              <w:snapToGrid/>
              <w:spacing w:before="0" w:beforeAutospacing="0" w:after="0" w:afterAutospacing="0" w:line="240" w:lineRule="auto"/>
              <w:jc w:val="center"/>
              <w:textAlignment w:val="baseline"/>
              <w:rPr>
                <w:rFonts w:hint="eastAsia" w:ascii="仿宋_GB2312" w:hAnsi="仿宋_GB2312" w:eastAsia="仿宋_GB2312" w:cs="仿宋_GB2312"/>
                <w:b w:val="0"/>
                <w:i w:val="0"/>
                <w:caps w:val="0"/>
                <w:spacing w:val="0"/>
                <w:w w:val="100"/>
                <w:sz w:val="24"/>
                <w:szCs w:val="24"/>
                <w:vertAlign w:val="baseline"/>
                <w:lang w:val="en-US" w:eastAsia="zh-CN"/>
              </w:rPr>
            </w:pPr>
            <w:r>
              <w:rPr>
                <w:rFonts w:hint="eastAsia" w:ascii="仿宋_GB2312" w:hAnsi="仿宋_GB2312" w:eastAsia="仿宋_GB2312" w:cs="仿宋_GB2312"/>
                <w:b w:val="0"/>
                <w:i w:val="0"/>
                <w:caps w:val="0"/>
                <w:spacing w:val="0"/>
                <w:w w:val="100"/>
                <w:sz w:val="24"/>
                <w:szCs w:val="24"/>
                <w:lang w:val="en-US" w:eastAsia="zh-CN"/>
              </w:rPr>
              <w:t>环保标准</w:t>
            </w:r>
          </w:p>
        </w:tc>
        <w:tc>
          <w:tcPr>
            <w:tcW w:w="1699" w:type="dxa"/>
          </w:tcPr>
          <w:p w14:paraId="35E82A34">
            <w:pPr>
              <w:snapToGrid/>
              <w:spacing w:before="0" w:beforeAutospacing="0" w:after="0" w:afterAutospacing="0" w:line="240" w:lineRule="auto"/>
              <w:jc w:val="center"/>
              <w:textAlignment w:val="baseline"/>
              <w:rPr>
                <w:rFonts w:hint="default" w:ascii="仿宋_GB2312" w:hAnsi="仿宋_GB2312" w:eastAsia="仿宋_GB2312" w:cs="仿宋_GB2312"/>
                <w:b w:val="0"/>
                <w:i w:val="0"/>
                <w:caps w:val="0"/>
                <w:spacing w:val="0"/>
                <w:w w:val="100"/>
                <w:sz w:val="24"/>
                <w:szCs w:val="24"/>
                <w:vertAlign w:val="baseline"/>
                <w:lang w:val="en-US" w:eastAsia="zh-CN"/>
              </w:rPr>
            </w:pPr>
            <w:r>
              <w:rPr>
                <w:rFonts w:hint="eastAsia" w:ascii="仿宋_GB2312" w:hAnsi="仿宋_GB2312" w:eastAsia="仿宋_GB2312" w:cs="仿宋_GB2312"/>
                <w:b w:val="0"/>
                <w:i w:val="0"/>
                <w:caps w:val="0"/>
                <w:spacing w:val="0"/>
                <w:w w:val="100"/>
                <w:sz w:val="24"/>
                <w:szCs w:val="24"/>
                <w:vertAlign w:val="baseline"/>
                <w:lang w:val="en-US" w:eastAsia="zh-CN"/>
              </w:rPr>
              <w:t>国四</w:t>
            </w:r>
          </w:p>
        </w:tc>
        <w:tc>
          <w:tcPr>
            <w:tcW w:w="1418" w:type="dxa"/>
          </w:tcPr>
          <w:p w14:paraId="0534B924">
            <w:pPr>
              <w:snapToGrid/>
              <w:spacing w:before="0" w:beforeAutospacing="0" w:after="0" w:afterAutospacing="0" w:line="240" w:lineRule="auto"/>
              <w:jc w:val="center"/>
              <w:textAlignment w:val="baseline"/>
              <w:rPr>
                <w:rFonts w:hint="eastAsia" w:ascii="仿宋_GB2312" w:hAnsi="仿宋_GB2312" w:eastAsia="仿宋_GB2312" w:cs="仿宋_GB2312"/>
                <w:b w:val="0"/>
                <w:i w:val="0"/>
                <w:caps w:val="0"/>
                <w:spacing w:val="0"/>
                <w:w w:val="100"/>
                <w:sz w:val="24"/>
                <w:szCs w:val="24"/>
                <w:vertAlign w:val="baseline"/>
                <w:lang w:val="en-US" w:eastAsia="zh-CN"/>
              </w:rPr>
            </w:pPr>
            <w:r>
              <w:rPr>
                <w:rFonts w:hint="eastAsia" w:ascii="仿宋_GB2312" w:hAnsi="仿宋_GB2312" w:eastAsia="仿宋_GB2312" w:cs="仿宋_GB2312"/>
                <w:b w:val="0"/>
                <w:i w:val="0"/>
                <w:caps w:val="0"/>
                <w:spacing w:val="0"/>
                <w:w w:val="100"/>
                <w:sz w:val="24"/>
                <w:szCs w:val="24"/>
                <w:lang w:val="en-US" w:eastAsia="zh-CN"/>
              </w:rPr>
              <w:t>燃油种类</w:t>
            </w:r>
          </w:p>
        </w:tc>
        <w:tc>
          <w:tcPr>
            <w:tcW w:w="1723" w:type="dxa"/>
          </w:tcPr>
          <w:p w14:paraId="6A770FF6">
            <w:pPr>
              <w:snapToGrid/>
              <w:spacing w:before="0" w:beforeAutospacing="0" w:after="0" w:afterAutospacing="0" w:line="240" w:lineRule="auto"/>
              <w:jc w:val="center"/>
              <w:textAlignment w:val="baseline"/>
              <w:rPr>
                <w:rFonts w:hint="eastAsia" w:ascii="仿宋_GB2312" w:hAnsi="仿宋_GB2312" w:eastAsia="仿宋_GB2312" w:cs="仿宋_GB2312"/>
                <w:b w:val="0"/>
                <w:i w:val="0"/>
                <w:caps w:val="0"/>
                <w:spacing w:val="0"/>
                <w:w w:val="100"/>
                <w:sz w:val="24"/>
                <w:szCs w:val="24"/>
                <w:vertAlign w:val="baseline"/>
                <w:lang w:val="en-US" w:eastAsia="zh-CN"/>
              </w:rPr>
            </w:pPr>
            <w:r>
              <w:rPr>
                <w:rFonts w:hint="eastAsia" w:ascii="仿宋_GB2312" w:hAnsi="仿宋_GB2312" w:eastAsia="仿宋_GB2312" w:cs="仿宋_GB2312"/>
                <w:b w:val="0"/>
                <w:i w:val="0"/>
                <w:caps w:val="0"/>
                <w:spacing w:val="0"/>
                <w:w w:val="100"/>
                <w:sz w:val="24"/>
                <w:szCs w:val="24"/>
                <w:vertAlign w:val="baseline"/>
                <w:lang w:val="en-US" w:eastAsia="zh-CN"/>
              </w:rPr>
              <w:t>汽油</w:t>
            </w:r>
          </w:p>
        </w:tc>
      </w:tr>
      <w:tr w14:paraId="43716F61">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49" w:hRule="atLeast"/>
        </w:trPr>
        <w:tc>
          <w:tcPr>
            <w:tcW w:w="1494" w:type="dxa"/>
          </w:tcPr>
          <w:p w14:paraId="38004D51">
            <w:pPr>
              <w:snapToGrid/>
              <w:spacing w:before="0" w:beforeAutospacing="0" w:after="0" w:afterAutospacing="0" w:line="240" w:lineRule="auto"/>
              <w:jc w:val="center"/>
              <w:textAlignment w:val="baseline"/>
              <w:rPr>
                <w:rFonts w:hint="eastAsia" w:ascii="仿宋_GB2312" w:hAnsi="仿宋_GB2312" w:eastAsia="仿宋_GB2312" w:cs="仿宋_GB2312"/>
                <w:b w:val="0"/>
                <w:i w:val="0"/>
                <w:caps w:val="0"/>
                <w:spacing w:val="0"/>
                <w:w w:val="100"/>
                <w:sz w:val="24"/>
                <w:szCs w:val="24"/>
                <w:vertAlign w:val="baseline"/>
                <w:lang w:val="en-US" w:eastAsia="zh-CN"/>
              </w:rPr>
            </w:pPr>
            <w:r>
              <w:rPr>
                <w:rFonts w:hint="eastAsia" w:ascii="仿宋_GB2312" w:hAnsi="仿宋_GB2312" w:eastAsia="仿宋_GB2312" w:cs="仿宋_GB2312"/>
                <w:b w:val="0"/>
                <w:i w:val="0"/>
                <w:caps w:val="0"/>
                <w:spacing w:val="0"/>
                <w:w w:val="100"/>
                <w:sz w:val="24"/>
                <w:szCs w:val="24"/>
                <w:lang w:val="en-US" w:eastAsia="zh-CN"/>
              </w:rPr>
              <w:t>交强保险</w:t>
            </w:r>
          </w:p>
        </w:tc>
        <w:tc>
          <w:tcPr>
            <w:tcW w:w="1453" w:type="dxa"/>
          </w:tcPr>
          <w:p w14:paraId="5EAACA23">
            <w:pPr>
              <w:snapToGrid/>
              <w:spacing w:before="0" w:beforeAutospacing="0" w:after="0" w:afterAutospacing="0" w:line="240" w:lineRule="auto"/>
              <w:jc w:val="center"/>
              <w:textAlignment w:val="baseline"/>
              <w:rPr>
                <w:rFonts w:hint="default" w:ascii="仿宋_GB2312" w:hAnsi="仿宋_GB2312" w:eastAsia="仿宋_GB2312" w:cs="仿宋_GB2312"/>
                <w:b w:val="0"/>
                <w:i w:val="0"/>
                <w:caps w:val="0"/>
                <w:spacing w:val="0"/>
                <w:w w:val="100"/>
                <w:sz w:val="24"/>
                <w:szCs w:val="24"/>
                <w:vertAlign w:val="baseline"/>
                <w:lang w:val="en-US" w:eastAsia="zh-CN"/>
              </w:rPr>
            </w:pPr>
            <w:r>
              <w:rPr>
                <w:rFonts w:hint="eastAsia" w:ascii="仿宋_GB2312" w:hAnsi="仿宋_GB2312" w:eastAsia="仿宋_GB2312" w:cs="仿宋_GB2312"/>
                <w:b w:val="0"/>
                <w:i w:val="0"/>
                <w:caps w:val="0"/>
                <w:spacing w:val="0"/>
                <w:w w:val="100"/>
                <w:sz w:val="24"/>
                <w:szCs w:val="24"/>
                <w:vertAlign w:val="baseline"/>
                <w:lang w:val="en-US" w:eastAsia="zh-CN"/>
              </w:rPr>
              <w:t>在保</w:t>
            </w:r>
          </w:p>
        </w:tc>
        <w:tc>
          <w:tcPr>
            <w:tcW w:w="1199" w:type="dxa"/>
          </w:tcPr>
          <w:p w14:paraId="65B0A386">
            <w:pPr>
              <w:snapToGrid/>
              <w:spacing w:before="0" w:beforeAutospacing="0" w:after="0" w:afterAutospacing="0" w:line="240" w:lineRule="auto"/>
              <w:jc w:val="center"/>
              <w:textAlignment w:val="baseline"/>
              <w:rPr>
                <w:rFonts w:hint="eastAsia" w:ascii="仿宋_GB2312" w:hAnsi="仿宋_GB2312" w:eastAsia="仿宋_GB2312" w:cs="仿宋_GB2312"/>
                <w:b w:val="0"/>
                <w:i w:val="0"/>
                <w:caps w:val="0"/>
                <w:spacing w:val="0"/>
                <w:w w:val="100"/>
                <w:sz w:val="24"/>
                <w:szCs w:val="24"/>
                <w:vertAlign w:val="baseline"/>
                <w:lang w:val="en-US" w:eastAsia="zh-CN"/>
              </w:rPr>
            </w:pPr>
            <w:r>
              <w:rPr>
                <w:rFonts w:hint="eastAsia" w:ascii="仿宋_GB2312" w:hAnsi="仿宋_GB2312" w:eastAsia="仿宋_GB2312" w:cs="仿宋_GB2312"/>
                <w:b w:val="0"/>
                <w:i w:val="0"/>
                <w:caps w:val="0"/>
                <w:spacing w:val="0"/>
                <w:w w:val="100"/>
                <w:sz w:val="24"/>
                <w:szCs w:val="24"/>
                <w:lang w:val="en-US" w:eastAsia="zh-CN"/>
              </w:rPr>
              <w:t>商业保险</w:t>
            </w:r>
          </w:p>
        </w:tc>
        <w:tc>
          <w:tcPr>
            <w:tcW w:w="1699" w:type="dxa"/>
          </w:tcPr>
          <w:p w14:paraId="3955AEFC">
            <w:pPr>
              <w:snapToGrid/>
              <w:spacing w:before="0" w:beforeAutospacing="0" w:after="0" w:afterAutospacing="0" w:line="240" w:lineRule="auto"/>
              <w:jc w:val="center"/>
              <w:textAlignment w:val="baseline"/>
              <w:rPr>
                <w:rFonts w:hint="default" w:ascii="仿宋_GB2312" w:hAnsi="仿宋_GB2312" w:eastAsia="仿宋_GB2312" w:cs="仿宋_GB2312"/>
                <w:b w:val="0"/>
                <w:i w:val="0"/>
                <w:caps w:val="0"/>
                <w:spacing w:val="0"/>
                <w:w w:val="100"/>
                <w:sz w:val="24"/>
                <w:szCs w:val="24"/>
                <w:vertAlign w:val="baseline"/>
                <w:lang w:val="en-US" w:eastAsia="zh-CN"/>
              </w:rPr>
            </w:pPr>
            <w:r>
              <w:rPr>
                <w:rFonts w:hint="eastAsia" w:ascii="仿宋_GB2312" w:hAnsi="仿宋_GB2312" w:eastAsia="仿宋_GB2312" w:cs="仿宋_GB2312"/>
                <w:b w:val="0"/>
                <w:i w:val="0"/>
                <w:caps w:val="0"/>
                <w:spacing w:val="0"/>
                <w:w w:val="100"/>
                <w:sz w:val="24"/>
                <w:szCs w:val="24"/>
                <w:vertAlign w:val="baseline"/>
                <w:lang w:val="en-US" w:eastAsia="zh-CN"/>
              </w:rPr>
              <w:t>暂无</w:t>
            </w:r>
          </w:p>
        </w:tc>
        <w:tc>
          <w:tcPr>
            <w:tcW w:w="1418" w:type="dxa"/>
          </w:tcPr>
          <w:p w14:paraId="5011AD20">
            <w:pPr>
              <w:snapToGrid/>
              <w:spacing w:before="0" w:beforeAutospacing="0" w:after="0" w:afterAutospacing="0" w:line="240" w:lineRule="auto"/>
              <w:jc w:val="center"/>
              <w:textAlignment w:val="baseline"/>
              <w:rPr>
                <w:rFonts w:hint="eastAsia" w:ascii="仿宋_GB2312" w:hAnsi="仿宋_GB2312" w:eastAsia="仿宋_GB2312" w:cs="仿宋_GB2312"/>
                <w:b w:val="0"/>
                <w:i w:val="0"/>
                <w:caps w:val="0"/>
                <w:spacing w:val="0"/>
                <w:w w:val="100"/>
                <w:sz w:val="24"/>
                <w:szCs w:val="24"/>
                <w:vertAlign w:val="baseline"/>
                <w:lang w:val="en-US" w:eastAsia="zh-CN"/>
              </w:rPr>
            </w:pPr>
            <w:r>
              <w:rPr>
                <w:rFonts w:hint="eastAsia" w:ascii="仿宋_GB2312" w:hAnsi="仿宋_GB2312" w:eastAsia="仿宋_GB2312" w:cs="仿宋_GB2312"/>
                <w:b w:val="0"/>
                <w:i w:val="0"/>
                <w:caps w:val="0"/>
                <w:spacing w:val="0"/>
                <w:w w:val="100"/>
                <w:sz w:val="24"/>
                <w:szCs w:val="24"/>
                <w:lang w:val="en-US" w:eastAsia="zh-CN"/>
              </w:rPr>
              <w:t>车辆购置税</w:t>
            </w:r>
          </w:p>
        </w:tc>
        <w:tc>
          <w:tcPr>
            <w:tcW w:w="1723" w:type="dxa"/>
          </w:tcPr>
          <w:p w14:paraId="5BCC9E35">
            <w:pPr>
              <w:snapToGrid/>
              <w:spacing w:before="0" w:beforeAutospacing="0" w:after="0" w:afterAutospacing="0" w:line="240" w:lineRule="auto"/>
              <w:jc w:val="center"/>
              <w:textAlignment w:val="baseline"/>
              <w:rPr>
                <w:rFonts w:hint="eastAsia" w:ascii="仿宋_GB2312" w:hAnsi="仿宋_GB2312" w:eastAsia="仿宋_GB2312" w:cs="仿宋_GB2312"/>
                <w:b w:val="0"/>
                <w:i w:val="0"/>
                <w:caps w:val="0"/>
                <w:spacing w:val="0"/>
                <w:w w:val="100"/>
                <w:sz w:val="24"/>
                <w:szCs w:val="24"/>
                <w:vertAlign w:val="baseline"/>
                <w:lang w:val="en-US" w:eastAsia="zh-CN"/>
              </w:rPr>
            </w:pPr>
          </w:p>
        </w:tc>
      </w:tr>
      <w:tr w14:paraId="1CA960FD">
        <w:tblPrEx>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Ex>
        <w:trPr>
          <w:trHeight w:val="354" w:hRule="atLeast"/>
        </w:trPr>
        <w:tc>
          <w:tcPr>
            <w:tcW w:w="1494" w:type="dxa"/>
          </w:tcPr>
          <w:p w14:paraId="034111A9">
            <w:pPr>
              <w:snapToGrid/>
              <w:spacing w:before="0" w:beforeAutospacing="0" w:after="0" w:afterAutospacing="0" w:line="240" w:lineRule="auto"/>
              <w:jc w:val="center"/>
              <w:textAlignment w:val="baseline"/>
              <w:rPr>
                <w:rFonts w:hint="eastAsia" w:ascii="仿宋_GB2312" w:hAnsi="仿宋_GB2312" w:eastAsia="仿宋_GB2312" w:cs="仿宋_GB2312"/>
                <w:b w:val="0"/>
                <w:i w:val="0"/>
                <w:caps w:val="0"/>
                <w:spacing w:val="0"/>
                <w:w w:val="100"/>
                <w:sz w:val="24"/>
                <w:szCs w:val="24"/>
                <w:vertAlign w:val="baseline"/>
                <w:lang w:val="en-US" w:eastAsia="zh-CN"/>
              </w:rPr>
            </w:pPr>
            <w:r>
              <w:rPr>
                <w:rFonts w:hint="eastAsia" w:ascii="仿宋_GB2312" w:hAnsi="仿宋_GB2312" w:eastAsia="仿宋_GB2312" w:cs="仿宋_GB2312"/>
                <w:b w:val="0"/>
                <w:i w:val="0"/>
                <w:caps w:val="0"/>
                <w:spacing w:val="0"/>
                <w:w w:val="100"/>
                <w:sz w:val="24"/>
                <w:szCs w:val="24"/>
                <w:lang w:val="en-US" w:eastAsia="zh-CN"/>
              </w:rPr>
              <w:t>车船使用税</w:t>
            </w:r>
          </w:p>
        </w:tc>
        <w:tc>
          <w:tcPr>
            <w:tcW w:w="1453" w:type="dxa"/>
          </w:tcPr>
          <w:p w14:paraId="2762DE96">
            <w:pPr>
              <w:snapToGrid/>
              <w:spacing w:before="0" w:beforeAutospacing="0" w:after="0" w:afterAutospacing="0" w:line="240" w:lineRule="auto"/>
              <w:jc w:val="center"/>
              <w:textAlignment w:val="baseline"/>
              <w:rPr>
                <w:rFonts w:hint="default" w:ascii="仿宋_GB2312" w:hAnsi="仿宋_GB2312" w:eastAsia="仿宋_GB2312" w:cs="仿宋_GB2312"/>
                <w:b w:val="0"/>
                <w:i w:val="0"/>
                <w:caps w:val="0"/>
                <w:spacing w:val="0"/>
                <w:w w:val="100"/>
                <w:sz w:val="24"/>
                <w:szCs w:val="24"/>
                <w:vertAlign w:val="baseline"/>
                <w:lang w:val="en-US" w:eastAsia="zh-CN"/>
              </w:rPr>
            </w:pPr>
            <w:r>
              <w:rPr>
                <w:rFonts w:hint="eastAsia" w:ascii="仿宋_GB2312" w:hAnsi="仿宋_GB2312" w:eastAsia="仿宋_GB2312" w:cs="仿宋_GB2312"/>
                <w:b w:val="0"/>
                <w:i w:val="0"/>
                <w:caps w:val="0"/>
                <w:spacing w:val="0"/>
                <w:w w:val="100"/>
                <w:sz w:val="24"/>
                <w:szCs w:val="24"/>
                <w:vertAlign w:val="baseline"/>
                <w:lang w:val="en-US" w:eastAsia="zh-CN"/>
              </w:rPr>
              <w:t>已缴纳</w:t>
            </w:r>
          </w:p>
        </w:tc>
        <w:tc>
          <w:tcPr>
            <w:tcW w:w="1199" w:type="dxa"/>
          </w:tcPr>
          <w:p w14:paraId="3F662283">
            <w:pPr>
              <w:snapToGrid/>
              <w:spacing w:before="0" w:beforeAutospacing="0" w:after="0" w:afterAutospacing="0" w:line="240" w:lineRule="auto"/>
              <w:jc w:val="center"/>
              <w:textAlignment w:val="baseline"/>
              <w:rPr>
                <w:rFonts w:hint="eastAsia" w:ascii="仿宋_GB2312" w:hAnsi="仿宋_GB2312" w:eastAsia="仿宋_GB2312" w:cs="仿宋_GB2312"/>
                <w:b w:val="0"/>
                <w:i w:val="0"/>
                <w:caps w:val="0"/>
                <w:spacing w:val="0"/>
                <w:w w:val="100"/>
                <w:sz w:val="24"/>
                <w:szCs w:val="24"/>
                <w:vertAlign w:val="baseline"/>
                <w:lang w:val="en-US" w:eastAsia="zh-CN"/>
              </w:rPr>
            </w:pPr>
            <w:r>
              <w:rPr>
                <w:rFonts w:hint="eastAsia" w:ascii="仿宋_GB2312" w:hAnsi="仿宋_GB2312" w:eastAsia="仿宋_GB2312" w:cs="仿宋_GB2312"/>
                <w:b w:val="0"/>
                <w:i w:val="0"/>
                <w:caps w:val="0"/>
                <w:spacing w:val="0"/>
                <w:w w:val="100"/>
                <w:sz w:val="24"/>
                <w:szCs w:val="24"/>
                <w:lang w:val="en-US" w:eastAsia="zh-CN"/>
              </w:rPr>
              <w:t>处置方式</w:t>
            </w:r>
          </w:p>
        </w:tc>
        <w:tc>
          <w:tcPr>
            <w:tcW w:w="1699" w:type="dxa"/>
          </w:tcPr>
          <w:p w14:paraId="776B8A5E">
            <w:pPr>
              <w:snapToGrid/>
              <w:spacing w:before="0" w:beforeAutospacing="0" w:after="0" w:afterAutospacing="0" w:line="240" w:lineRule="auto"/>
              <w:jc w:val="center"/>
              <w:textAlignment w:val="baseline"/>
              <w:rPr>
                <w:rFonts w:hint="eastAsia" w:ascii="仿宋_GB2312" w:hAnsi="仿宋_GB2312" w:eastAsia="仿宋_GB2312" w:cs="仿宋_GB2312"/>
                <w:b w:val="0"/>
                <w:i w:val="0"/>
                <w:caps w:val="0"/>
                <w:spacing w:val="0"/>
                <w:w w:val="100"/>
                <w:sz w:val="24"/>
                <w:szCs w:val="24"/>
                <w:vertAlign w:val="baseline"/>
                <w:lang w:val="en-US" w:eastAsia="zh-CN"/>
              </w:rPr>
            </w:pPr>
            <w:r>
              <w:rPr>
                <w:rFonts w:hint="eastAsia" w:ascii="仿宋_GB2312" w:hAnsi="仿宋_GB2312" w:eastAsia="仿宋_GB2312" w:cs="仿宋_GB2312"/>
                <w:b w:val="0"/>
                <w:i w:val="0"/>
                <w:caps w:val="0"/>
                <w:spacing w:val="0"/>
                <w:w w:val="100"/>
                <w:sz w:val="24"/>
                <w:szCs w:val="24"/>
                <w:vertAlign w:val="baseline"/>
                <w:lang w:val="en-US" w:eastAsia="zh-CN"/>
              </w:rPr>
              <w:t>网络拍卖</w:t>
            </w:r>
          </w:p>
        </w:tc>
        <w:tc>
          <w:tcPr>
            <w:tcW w:w="1418" w:type="dxa"/>
          </w:tcPr>
          <w:p w14:paraId="2420F572">
            <w:pPr>
              <w:snapToGrid/>
              <w:spacing w:before="0" w:beforeAutospacing="0" w:after="0" w:afterAutospacing="0" w:line="240" w:lineRule="auto"/>
              <w:jc w:val="center"/>
              <w:textAlignment w:val="baseline"/>
              <w:rPr>
                <w:rFonts w:hint="eastAsia" w:ascii="仿宋_GB2312" w:hAnsi="仿宋_GB2312" w:eastAsia="仿宋_GB2312" w:cs="仿宋_GB2312"/>
                <w:b w:val="0"/>
                <w:i w:val="0"/>
                <w:caps w:val="0"/>
                <w:spacing w:val="0"/>
                <w:w w:val="100"/>
                <w:sz w:val="24"/>
                <w:szCs w:val="24"/>
                <w:vertAlign w:val="baseline"/>
                <w:lang w:val="en-US" w:eastAsia="zh-CN"/>
              </w:rPr>
            </w:pPr>
          </w:p>
        </w:tc>
        <w:tc>
          <w:tcPr>
            <w:tcW w:w="1723" w:type="dxa"/>
          </w:tcPr>
          <w:p w14:paraId="58435E67">
            <w:pPr>
              <w:snapToGrid/>
              <w:spacing w:before="0" w:beforeAutospacing="0" w:after="0" w:afterAutospacing="0" w:line="240" w:lineRule="auto"/>
              <w:jc w:val="center"/>
              <w:textAlignment w:val="baseline"/>
              <w:rPr>
                <w:rFonts w:hint="eastAsia" w:ascii="仿宋_GB2312" w:hAnsi="仿宋_GB2312" w:eastAsia="仿宋_GB2312" w:cs="仿宋_GB2312"/>
                <w:b w:val="0"/>
                <w:i w:val="0"/>
                <w:caps w:val="0"/>
                <w:spacing w:val="0"/>
                <w:w w:val="100"/>
                <w:sz w:val="24"/>
                <w:szCs w:val="24"/>
                <w:vertAlign w:val="baseline"/>
                <w:lang w:val="en-US" w:eastAsia="zh-CN"/>
              </w:rPr>
            </w:pPr>
          </w:p>
        </w:tc>
      </w:tr>
    </w:tbl>
    <w:p w14:paraId="595B45D5">
      <w:pPr>
        <w:keepNext w:val="0"/>
        <w:keepLines w:val="0"/>
        <w:widowControl/>
        <w:suppressLineNumbers w:val="0"/>
        <w:jc w:val="center"/>
        <w:rPr>
          <w:rFonts w:hint="eastAsia" w:ascii="仿宋_GB2312" w:hAnsi="仿宋_GB2312" w:eastAsia="仿宋_GB2312" w:cs="仿宋_GB2312"/>
          <w:sz w:val="28"/>
          <w:szCs w:val="28"/>
          <w:lang w:eastAsia="zh-CN"/>
        </w:rPr>
      </w:pPr>
      <w:r>
        <w:rPr>
          <w:rFonts w:hint="eastAsia" w:ascii="仿宋_GB2312" w:hAnsi="仿宋_GB2312" w:eastAsia="仿宋_GB2312" w:cs="仿宋_GB2312"/>
          <w:sz w:val="28"/>
          <w:szCs w:val="28"/>
          <w:lang w:eastAsia="zh-CN"/>
        </w:rPr>
        <w:t>竞买须知</w:t>
      </w:r>
    </w:p>
    <w:p w14:paraId="575AE9FF">
      <w:pPr>
        <w:keepNext w:val="0"/>
        <w:keepLines w:val="0"/>
        <w:widowControl/>
        <w:suppressLineNumbers w:val="0"/>
        <w:ind w:firstLine="560" w:firstLineChars="200"/>
        <w:jc w:val="left"/>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 xml:space="preserve">一、本标的车辆均按现场展示的状况及状态进行现状拍卖和交接，委托人对车辆所作出的说明及相关资料均是对标的所作的参考性说明，不作为委托人对车辆品质的任何担保，也不作为车辆现状的法律依据和标的移交的凭据。 </w:t>
      </w:r>
    </w:p>
    <w:p w14:paraId="1453CEE5">
      <w:pPr>
        <w:keepNext w:val="0"/>
        <w:keepLines w:val="0"/>
        <w:widowControl/>
        <w:suppressLineNumbers w:val="0"/>
        <w:ind w:firstLine="560" w:firstLineChars="200"/>
        <w:jc w:val="left"/>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二、意向竞买人在信息公告期间应自行对标的资产进行全面了解，如意向竞买人现场踏勘须严格遵守标的所在地现场踏勘有关规定。</w:t>
      </w:r>
    </w:p>
    <w:p w14:paraId="53CE0A42">
      <w:pPr>
        <w:keepNext w:val="0"/>
        <w:keepLines w:val="0"/>
        <w:widowControl/>
        <w:suppressLineNumbers w:val="0"/>
        <w:ind w:firstLine="560" w:firstLineChars="200"/>
        <w:jc w:val="left"/>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三、落户地不限，意向竞买人须自行了解迁入地车辆限购及指标管理政策，过户需在资产占有方当地完成，如成交后因买受人原因不能办理过户的由买受人承担一切损失与责任。</w:t>
      </w:r>
    </w:p>
    <w:p w14:paraId="6B186136">
      <w:pPr>
        <w:keepNext w:val="0"/>
        <w:keepLines w:val="0"/>
        <w:widowControl/>
        <w:suppressLineNumbers w:val="0"/>
        <w:ind w:firstLine="560" w:firstLineChars="200"/>
        <w:jc w:val="left"/>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四、竞拍前，意向竞买人需通过化工资产处置交易平台缴纳交易保证金人民币5,000元。拍卖结束后未能竞得者的保证金将全额返还，期间不计利息。买受人交纳的保证金将在签署相关协议，依照协议约定支付全部价款后全额返还。</w:t>
      </w:r>
    </w:p>
    <w:p w14:paraId="2AC5C665">
      <w:pPr>
        <w:keepNext w:val="0"/>
        <w:keepLines w:val="0"/>
        <w:widowControl/>
        <w:suppressLineNumbers w:val="0"/>
        <w:ind w:firstLine="560" w:firstLineChars="200"/>
        <w:jc w:val="left"/>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五、意向竞买人在交纳交易保证金并报价后，视为已对转让标的资产完成现场踏勘，了解与认可标的现状及相关约定，自愿接受转让标的全部现状及瑕疵，并对其现状及相关交易风险充分知悉，同时视为已承诺自身符合相关法律法规规定的资质与条件，并承担非委托人原因引起的一切交易风险。</w:t>
      </w:r>
    </w:p>
    <w:p w14:paraId="631AC5AF">
      <w:pPr>
        <w:keepNext w:val="0"/>
        <w:keepLines w:val="0"/>
        <w:widowControl/>
        <w:suppressLineNumbers w:val="0"/>
        <w:ind w:firstLine="560" w:firstLineChars="200"/>
        <w:jc w:val="left"/>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六、买受人须在竞价结束后5个工作日内将全部成交价款及等同于成交价款2.5%的拍卖佣金一次性支付至中国化工资产管理有限公司（以下简称：化工资产）指定账户。</w:t>
      </w:r>
    </w:p>
    <w:p w14:paraId="13D28E3A">
      <w:pPr>
        <w:keepNext w:val="0"/>
        <w:keepLines w:val="0"/>
        <w:widowControl/>
        <w:suppressLineNumbers w:val="0"/>
        <w:ind w:firstLine="560" w:firstLineChars="200"/>
        <w:jc w:val="left"/>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七、买受人须在成交之日起10个工作日内，签订自化工资产出具《拍卖成交确认书》、拍卖笔录，与委托人确认新车主资料，在资产占有方当地车管所预约时间内办理车辆过户迁出手续并完成车辆移交，买受人应同时将成交确认书，过户变更后的机动车行驶证、登记证复印件交予委托人、拍卖人。标的车辆过户所产生的费用手续由买受人自行承担，车辆过户时应由委托人与买受人共同办理。</w:t>
      </w:r>
    </w:p>
    <w:p w14:paraId="79BC543F">
      <w:pPr>
        <w:keepNext w:val="0"/>
        <w:keepLines w:val="0"/>
        <w:widowControl/>
        <w:suppressLineNumbers w:val="0"/>
        <w:ind w:firstLine="560" w:firstLineChars="200"/>
        <w:jc w:val="left"/>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八、标的车辆移交前车辆发生的一切违章、违法、交通事故、意外事故等，由此产生的经济损失及法律纠纷由委托人承担；标的车辆移交后车辆发生的一切违章、违法、交通事故、意外事故等，由此产生的经济损失及法律纠纷由买受人自行承担。为完成标的车辆移交涉及的一切费用及税费由买受人自理。自标的车辆办理完过户手续后，委托人便不负责标的车辆的保管。</w:t>
      </w:r>
    </w:p>
    <w:p w14:paraId="0A078961">
      <w:pPr>
        <w:keepNext w:val="0"/>
        <w:keepLines w:val="0"/>
        <w:widowControl/>
        <w:suppressLineNumbers w:val="0"/>
        <w:ind w:firstLine="560" w:firstLineChars="200"/>
        <w:jc w:val="left"/>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九、买受人不得以不了解标的状况及资产质量、数量等方面瑕疵为由要求退还标的物或拒付价款，否则将视为违约，拍卖人及委托人有权扣除其所交纳的交易保证金作为补偿，并保留进一步追究责任的权利。</w:t>
      </w:r>
    </w:p>
    <w:p w14:paraId="6593A949">
      <w:pPr>
        <w:keepNext w:val="0"/>
        <w:keepLines w:val="0"/>
        <w:widowControl/>
        <w:suppressLineNumbers w:val="0"/>
        <w:ind w:firstLine="560" w:firstLineChars="200"/>
        <w:jc w:val="left"/>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十、如车辆年检期限已过，成交后买受人办理年检手续，相关费用由买受人承担。如因为车辆无法过户，买受人已支付的年检等相关手续费用由买受人自行承担。</w:t>
      </w:r>
    </w:p>
    <w:p w14:paraId="7CD3918E">
      <w:pPr>
        <w:keepNext w:val="0"/>
        <w:keepLines w:val="0"/>
        <w:widowControl/>
        <w:suppressLineNumbers w:val="0"/>
        <w:ind w:firstLine="560" w:firstLineChars="200"/>
        <w:jc w:val="left"/>
        <w:rPr>
          <w:rFonts w:hint="eastAsia" w:ascii="仿宋_GB2312" w:hAnsi="仿宋_GB2312" w:eastAsia="仿宋_GB2312" w:cs="仿宋_GB2312"/>
          <w:sz w:val="28"/>
          <w:szCs w:val="28"/>
          <w:lang w:val="en-US" w:eastAsia="zh-CN"/>
        </w:rPr>
      </w:pPr>
    </w:p>
    <w:p w14:paraId="2AC13477">
      <w:pPr>
        <w:keepNext w:val="0"/>
        <w:keepLines w:val="0"/>
        <w:widowControl/>
        <w:suppressLineNumbers w:val="0"/>
        <w:ind w:firstLine="560" w:firstLineChars="200"/>
        <w:jc w:val="left"/>
        <w:rPr>
          <w:rFonts w:hint="eastAsia" w:ascii="仿宋_GB2312" w:hAnsi="仿宋_GB2312" w:eastAsia="仿宋_GB2312" w:cs="仿宋_GB2312"/>
          <w:sz w:val="28"/>
          <w:szCs w:val="28"/>
          <w:lang w:val="en-US" w:eastAsia="zh-CN"/>
        </w:rPr>
      </w:pPr>
    </w:p>
    <w:p w14:paraId="34EF235A">
      <w:pPr>
        <w:keepNext w:val="0"/>
        <w:keepLines w:val="0"/>
        <w:widowControl/>
        <w:suppressLineNumbers w:val="0"/>
        <w:ind w:firstLine="560" w:firstLineChars="200"/>
        <w:jc w:val="left"/>
        <w:rPr>
          <w:rFonts w:hint="eastAsia" w:ascii="仿宋_GB2312" w:hAnsi="仿宋_GB2312" w:eastAsia="仿宋_GB2312" w:cs="仿宋_GB2312"/>
          <w:sz w:val="28"/>
          <w:szCs w:val="28"/>
          <w:lang w:val="en-US" w:eastAsia="zh-CN"/>
        </w:rPr>
      </w:pPr>
    </w:p>
    <w:p w14:paraId="3E1514C9">
      <w:pPr>
        <w:keepNext w:val="0"/>
        <w:keepLines w:val="0"/>
        <w:widowControl/>
        <w:suppressLineNumbers w:val="0"/>
        <w:ind w:firstLine="560" w:firstLineChars="200"/>
        <w:jc w:val="left"/>
        <w:rPr>
          <w:rFonts w:hint="eastAsia" w:ascii="仿宋_GB2312" w:hAnsi="仿宋_GB2312" w:eastAsia="仿宋_GB2312" w:cs="仿宋_GB2312"/>
          <w:sz w:val="28"/>
          <w:szCs w:val="28"/>
          <w:lang w:val="en-US" w:eastAsia="zh-CN"/>
        </w:rPr>
      </w:pPr>
    </w:p>
    <w:p w14:paraId="5EE7592B">
      <w:pPr>
        <w:keepNext w:val="0"/>
        <w:keepLines w:val="0"/>
        <w:widowControl/>
        <w:suppressLineNumbers w:val="0"/>
        <w:ind w:firstLine="560" w:firstLineChars="200"/>
        <w:jc w:val="center"/>
        <w:rPr>
          <w:rFonts w:hint="eastAsia" w:ascii="仿宋_GB2312" w:hAnsi="仿宋_GB2312" w:eastAsia="仿宋_GB2312" w:cs="仿宋_GB2312"/>
          <w:sz w:val="28"/>
          <w:szCs w:val="28"/>
          <w:lang w:val="en-US" w:eastAsia="zh-CN"/>
        </w:rPr>
      </w:pPr>
    </w:p>
    <w:p w14:paraId="7B7DFA06">
      <w:pPr>
        <w:keepNext w:val="0"/>
        <w:keepLines w:val="0"/>
        <w:widowControl/>
        <w:suppressLineNumbers w:val="0"/>
        <w:ind w:firstLine="560" w:firstLineChars="200"/>
        <w:jc w:val="center"/>
        <w:rPr>
          <w:rFonts w:hint="eastAsia" w:ascii="仿宋_GB2312" w:hAnsi="仿宋_GB2312" w:eastAsia="仿宋_GB2312" w:cs="仿宋_GB2312"/>
          <w:sz w:val="28"/>
          <w:szCs w:val="28"/>
          <w:lang w:val="en-US" w:eastAsia="zh-CN"/>
        </w:rPr>
      </w:pPr>
    </w:p>
    <w:p w14:paraId="5849E17C">
      <w:pPr>
        <w:keepNext w:val="0"/>
        <w:keepLines w:val="0"/>
        <w:widowControl/>
        <w:suppressLineNumbers w:val="0"/>
        <w:ind w:firstLine="560" w:firstLineChars="200"/>
        <w:jc w:val="center"/>
        <w:rPr>
          <w:rFonts w:hint="eastAsia" w:ascii="仿宋_GB2312" w:hAnsi="仿宋_GB2312" w:eastAsia="仿宋_GB2312" w:cs="仿宋_GB2312"/>
          <w:sz w:val="28"/>
          <w:szCs w:val="28"/>
          <w:lang w:val="en-US" w:eastAsia="zh-CN"/>
        </w:rPr>
      </w:pPr>
    </w:p>
    <w:p w14:paraId="3317C7DC">
      <w:pPr>
        <w:keepNext w:val="0"/>
        <w:keepLines w:val="0"/>
        <w:widowControl/>
        <w:suppressLineNumbers w:val="0"/>
        <w:ind w:firstLine="560" w:firstLineChars="200"/>
        <w:jc w:val="center"/>
        <w:rPr>
          <w:rFonts w:hint="eastAsia" w:ascii="仿宋_GB2312" w:hAnsi="仿宋_GB2312" w:eastAsia="仿宋_GB2312" w:cs="仿宋_GB2312"/>
          <w:sz w:val="28"/>
          <w:szCs w:val="28"/>
          <w:lang w:val="en-US" w:eastAsia="zh-CN"/>
        </w:rPr>
      </w:pPr>
    </w:p>
    <w:p w14:paraId="7C7A68E7">
      <w:pPr>
        <w:keepNext w:val="0"/>
        <w:keepLines w:val="0"/>
        <w:widowControl/>
        <w:suppressLineNumbers w:val="0"/>
        <w:ind w:firstLine="560" w:firstLineChars="200"/>
        <w:jc w:val="center"/>
        <w:rPr>
          <w:rFonts w:hint="eastAsia" w:ascii="仿宋_GB2312" w:hAnsi="仿宋_GB2312" w:eastAsia="仿宋_GB2312" w:cs="仿宋_GB2312"/>
          <w:sz w:val="28"/>
          <w:szCs w:val="28"/>
          <w:lang w:val="en-US" w:eastAsia="zh-CN"/>
        </w:rPr>
      </w:pPr>
    </w:p>
    <w:p w14:paraId="19E746E5">
      <w:pPr>
        <w:keepNext w:val="0"/>
        <w:keepLines w:val="0"/>
        <w:widowControl/>
        <w:suppressLineNumbers w:val="0"/>
        <w:ind w:firstLine="560" w:firstLineChars="200"/>
        <w:jc w:val="center"/>
        <w:rPr>
          <w:rFonts w:hint="eastAsia" w:ascii="仿宋_GB2312" w:hAnsi="仿宋_GB2312" w:eastAsia="仿宋_GB2312" w:cs="仿宋_GB2312"/>
          <w:sz w:val="28"/>
          <w:szCs w:val="28"/>
          <w:lang w:val="en-US" w:eastAsia="zh-CN"/>
        </w:rPr>
      </w:pPr>
    </w:p>
    <w:p w14:paraId="5723D9F2">
      <w:pPr>
        <w:keepNext w:val="0"/>
        <w:keepLines w:val="0"/>
        <w:widowControl/>
        <w:suppressLineNumbers w:val="0"/>
        <w:ind w:firstLine="560" w:firstLineChars="200"/>
        <w:jc w:val="center"/>
        <w:rPr>
          <w:rFonts w:hint="eastAsia" w:ascii="仿宋_GB2312" w:hAnsi="仿宋_GB2312" w:eastAsia="仿宋_GB2312" w:cs="仿宋_GB2312"/>
          <w:sz w:val="28"/>
          <w:szCs w:val="28"/>
          <w:lang w:val="en-US" w:eastAsia="zh-CN"/>
        </w:rPr>
      </w:pPr>
    </w:p>
    <w:p w14:paraId="3B58C2F7">
      <w:pPr>
        <w:keepNext w:val="0"/>
        <w:keepLines w:val="0"/>
        <w:widowControl/>
        <w:suppressLineNumbers w:val="0"/>
        <w:ind w:firstLine="560" w:firstLineChars="200"/>
        <w:jc w:val="center"/>
        <w:rPr>
          <w:rFonts w:hint="eastAsia" w:ascii="仿宋_GB2312" w:hAnsi="仿宋_GB2312" w:eastAsia="仿宋_GB2312" w:cs="仿宋_GB2312"/>
          <w:sz w:val="28"/>
          <w:szCs w:val="28"/>
          <w:lang w:val="en-US" w:eastAsia="zh-CN"/>
        </w:rPr>
      </w:pPr>
    </w:p>
    <w:p w14:paraId="61D16339">
      <w:pPr>
        <w:keepNext w:val="0"/>
        <w:keepLines w:val="0"/>
        <w:widowControl/>
        <w:suppressLineNumbers w:val="0"/>
        <w:ind w:firstLine="560" w:firstLineChars="200"/>
        <w:jc w:val="center"/>
        <w:rPr>
          <w:rFonts w:hint="eastAsia" w:ascii="仿宋_GB2312" w:hAnsi="仿宋_GB2312" w:eastAsia="仿宋_GB2312" w:cs="仿宋_GB2312"/>
          <w:sz w:val="28"/>
          <w:szCs w:val="28"/>
          <w:lang w:val="en-US" w:eastAsia="zh-CN"/>
        </w:rPr>
      </w:pPr>
    </w:p>
    <w:p w14:paraId="38C93096">
      <w:pPr>
        <w:keepNext w:val="0"/>
        <w:keepLines w:val="0"/>
        <w:widowControl/>
        <w:suppressLineNumbers w:val="0"/>
        <w:ind w:firstLine="560" w:firstLineChars="200"/>
        <w:jc w:val="center"/>
        <w:rPr>
          <w:rFonts w:hint="eastAsia" w:ascii="仿宋_GB2312" w:hAnsi="仿宋_GB2312" w:eastAsia="仿宋_GB2312" w:cs="仿宋_GB2312"/>
          <w:sz w:val="28"/>
          <w:szCs w:val="28"/>
          <w:lang w:val="en-US" w:eastAsia="zh-CN"/>
        </w:rPr>
      </w:pPr>
    </w:p>
    <w:p w14:paraId="458248E7">
      <w:pPr>
        <w:keepNext w:val="0"/>
        <w:keepLines w:val="0"/>
        <w:widowControl/>
        <w:suppressLineNumbers w:val="0"/>
        <w:ind w:firstLine="560" w:firstLineChars="200"/>
        <w:jc w:val="center"/>
        <w:rPr>
          <w:rFonts w:hint="eastAsia" w:ascii="仿宋_GB2312" w:hAnsi="仿宋_GB2312" w:eastAsia="仿宋_GB2312" w:cs="仿宋_GB2312"/>
          <w:sz w:val="28"/>
          <w:szCs w:val="28"/>
          <w:lang w:val="en-US" w:eastAsia="zh-CN"/>
        </w:rPr>
      </w:pPr>
    </w:p>
    <w:p w14:paraId="5D5A4616">
      <w:pPr>
        <w:keepNext w:val="0"/>
        <w:keepLines w:val="0"/>
        <w:widowControl/>
        <w:suppressLineNumbers w:val="0"/>
        <w:ind w:firstLine="560" w:firstLineChars="200"/>
        <w:jc w:val="center"/>
        <w:rPr>
          <w:rFonts w:hint="eastAsia" w:ascii="仿宋_GB2312" w:hAnsi="仿宋_GB2312" w:eastAsia="仿宋_GB2312" w:cs="仿宋_GB2312"/>
          <w:sz w:val="28"/>
          <w:szCs w:val="28"/>
          <w:lang w:val="en-US" w:eastAsia="zh-CN"/>
        </w:rPr>
      </w:pPr>
    </w:p>
    <w:p w14:paraId="5C0CACEE">
      <w:pPr>
        <w:keepNext w:val="0"/>
        <w:keepLines w:val="0"/>
        <w:widowControl/>
        <w:suppressLineNumbers w:val="0"/>
        <w:ind w:firstLine="560" w:firstLineChars="200"/>
        <w:jc w:val="center"/>
        <w:rPr>
          <w:rFonts w:hint="eastAsia" w:ascii="仿宋_GB2312" w:hAnsi="仿宋_GB2312" w:eastAsia="仿宋_GB2312" w:cs="仿宋_GB2312"/>
          <w:sz w:val="28"/>
          <w:szCs w:val="28"/>
          <w:lang w:val="en-US" w:eastAsia="zh-CN"/>
        </w:rPr>
      </w:pPr>
    </w:p>
    <w:p w14:paraId="506C588E">
      <w:pPr>
        <w:keepNext w:val="0"/>
        <w:keepLines w:val="0"/>
        <w:widowControl/>
        <w:suppressLineNumbers w:val="0"/>
        <w:ind w:firstLine="560" w:firstLineChars="200"/>
        <w:jc w:val="center"/>
        <w:rPr>
          <w:rFonts w:hint="eastAsia" w:ascii="仿宋_GB2312" w:hAnsi="仿宋_GB2312" w:eastAsia="仿宋_GB2312" w:cs="仿宋_GB2312"/>
          <w:sz w:val="28"/>
          <w:szCs w:val="28"/>
          <w:lang w:val="en-US" w:eastAsia="zh-CN"/>
        </w:rPr>
      </w:pPr>
    </w:p>
    <w:p w14:paraId="0C7FF0DB">
      <w:pPr>
        <w:keepNext w:val="0"/>
        <w:keepLines w:val="0"/>
        <w:widowControl/>
        <w:suppressLineNumbers w:val="0"/>
        <w:ind w:firstLine="560" w:firstLineChars="200"/>
        <w:jc w:val="center"/>
        <w:rPr>
          <w:rFonts w:hint="eastAsia" w:ascii="仿宋_GB2312" w:hAnsi="仿宋_GB2312" w:eastAsia="仿宋_GB2312" w:cs="仿宋_GB2312"/>
          <w:sz w:val="28"/>
          <w:szCs w:val="28"/>
          <w:lang w:val="en-US" w:eastAsia="zh-CN"/>
        </w:rPr>
      </w:pPr>
    </w:p>
    <w:p w14:paraId="08E35E68">
      <w:pPr>
        <w:keepNext w:val="0"/>
        <w:keepLines w:val="0"/>
        <w:widowControl/>
        <w:suppressLineNumbers w:val="0"/>
        <w:ind w:firstLine="560" w:firstLineChars="200"/>
        <w:jc w:val="center"/>
        <w:rPr>
          <w:rFonts w:hint="eastAsia" w:ascii="仿宋_GB2312" w:hAnsi="仿宋_GB2312" w:eastAsia="仿宋_GB2312" w:cs="仿宋_GB2312"/>
          <w:sz w:val="28"/>
          <w:szCs w:val="28"/>
          <w:lang w:val="en-US" w:eastAsia="zh-CN"/>
        </w:rPr>
      </w:pPr>
      <w:bookmarkStart w:id="0" w:name="_GoBack"/>
      <w:bookmarkEnd w:id="0"/>
      <w:r>
        <w:rPr>
          <w:rFonts w:hint="eastAsia" w:ascii="仿宋_GB2312" w:hAnsi="仿宋_GB2312" w:eastAsia="仿宋_GB2312" w:cs="仿宋_GB2312"/>
          <w:sz w:val="28"/>
          <w:szCs w:val="28"/>
          <w:lang w:val="en-US" w:eastAsia="zh-CN"/>
        </w:rPr>
        <w:t>竞买规则</w:t>
      </w:r>
    </w:p>
    <w:p w14:paraId="6CD0BF5C">
      <w:pPr>
        <w:keepNext w:val="0"/>
        <w:keepLines w:val="0"/>
        <w:widowControl/>
        <w:suppressLineNumbers w:val="0"/>
        <w:ind w:firstLine="560" w:firstLineChars="200"/>
        <w:jc w:val="left"/>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一、该车辆成交后竞买人必须与车辆落户人保持一致，否则无法办理车辆过户按照买受人违约处理。竞买人在公告期间有权利和义务自行对标的资产进行全面了解，一经出价，即表明已完全了解与认可标的状况及相关约定，自愿接受拍卖标的的全部现状及瑕疵，并愿承担一切责任与风险，成为买受人后不得以不了解标的状况、标的有瑕疵、质量等为由退还标的物或拒付价款。</w:t>
      </w:r>
    </w:p>
    <w:p w14:paraId="11C9ED73">
      <w:pPr>
        <w:keepNext w:val="0"/>
        <w:keepLines w:val="0"/>
        <w:widowControl/>
        <w:suppressLineNumbers w:val="0"/>
        <w:ind w:firstLine="560" w:firstLineChars="200"/>
        <w:jc w:val="left"/>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二、除公告期间已公示的信息外，其他如车辆能否过户、能否外迁、环保标准、是否存在违章、是否存在保险过期、脱检、证件是否齐全、发动机号与车架号确认等与车辆相关的情况及相应一切瑕疵，竞买人应在出价前自行向委托人以及当地车管部门了解清楚。竞买人一经出价，即表明已完全了解与认可标的状况及上述相关车辆全部情况及瑕疵，并自愿接受标的全部现状及瑕疵，并愿承担一切责任与风险，承担由于车辆瑕疵所引起的一切相关费用与法律后果。</w:t>
      </w:r>
    </w:p>
    <w:p w14:paraId="72FEEFD0">
      <w:pPr>
        <w:keepNext w:val="0"/>
        <w:keepLines w:val="0"/>
        <w:widowControl/>
        <w:suppressLineNumbers w:val="0"/>
        <w:ind w:firstLine="560" w:firstLineChars="200"/>
        <w:jc w:val="left"/>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三、拍卖人不对车辆瑕疵做任何保证，图片仅供参考，以车辆实体现状为准，买受人须现场看车，并自行到当地车管部门查询了解车辆相关信息及过户等相应政策规定。成交后，买受人不得以任何理由退车或要求退还已付的交易价款。</w:t>
      </w:r>
    </w:p>
    <w:p w14:paraId="50E3FF17">
      <w:pPr>
        <w:keepNext w:val="0"/>
        <w:keepLines w:val="0"/>
        <w:widowControl/>
        <w:suppressLineNumbers w:val="0"/>
        <w:ind w:firstLine="560" w:firstLineChars="200"/>
        <w:jc w:val="both"/>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四、办理车辆权属变更手续时，需要补缴的车辆检验费、车船税、机动车交通事故责任强制保险费及相关税、费均由买受人承担。</w:t>
      </w:r>
    </w:p>
    <w:p w14:paraId="0426DD54">
      <w:pPr>
        <w:keepNext w:val="0"/>
        <w:keepLines w:val="0"/>
        <w:widowControl/>
        <w:suppressLineNumbers w:val="0"/>
        <w:ind w:firstLine="560" w:firstLineChars="200"/>
        <w:jc w:val="both"/>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五、</w:t>
      </w:r>
      <w:r>
        <w:rPr>
          <w:rFonts w:hint="eastAsia" w:ascii="仿宋_GB2312" w:hAnsi="仿宋_GB2312" w:eastAsia="仿宋_GB2312" w:cs="仿宋_GB2312"/>
          <w:sz w:val="28"/>
          <w:szCs w:val="28"/>
          <w:highlight w:val="yellow"/>
          <w:lang w:val="en-US" w:eastAsia="zh-CN"/>
        </w:rPr>
        <w:t>本次转让车辆存放地为</w:t>
      </w:r>
      <w:r>
        <w:rPr>
          <w:rFonts w:hint="eastAsia" w:ascii="仿宋_GB2312" w:hAnsi="仿宋_GB2312" w:eastAsia="仿宋_GB2312" w:cs="仿宋_GB2312"/>
          <w:sz w:val="28"/>
          <w:szCs w:val="28"/>
          <w:lang w:val="en-US" w:eastAsia="zh-CN"/>
        </w:rPr>
        <w:t>：山东省青岛市城阳区锦宏东路74号，咨询、看车及申领拍卖成交确认书及拍卖笔录请联系：李宗林;联系电话：13911303698。</w:t>
      </w:r>
    </w:p>
    <w:p w14:paraId="69354F7E">
      <w:pPr>
        <w:keepNext w:val="0"/>
        <w:keepLines w:val="0"/>
        <w:widowControl/>
        <w:suppressLineNumbers w:val="0"/>
        <w:ind w:firstLine="560" w:firstLineChars="200"/>
        <w:jc w:val="both"/>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六、与拍卖人提前预约，按规定时间统一参加预展，规定时间外不予接待。</w:t>
      </w:r>
    </w:p>
    <w:p w14:paraId="325F4FF5">
      <w:pPr>
        <w:keepNext w:val="0"/>
        <w:keepLines w:val="0"/>
        <w:widowControl/>
        <w:suppressLineNumbers w:val="0"/>
        <w:ind w:firstLine="560" w:firstLineChars="200"/>
        <w:jc w:val="both"/>
        <w:rPr>
          <w:rFonts w:hint="eastAsia" w:ascii="仿宋_GB2312" w:hAnsi="仿宋_GB2312" w:eastAsia="仿宋_GB2312" w:cs="仿宋_GB2312"/>
          <w:sz w:val="28"/>
          <w:szCs w:val="28"/>
          <w:lang w:val="en-US" w:eastAsia="zh-CN"/>
        </w:rPr>
      </w:pPr>
      <w:r>
        <w:rPr>
          <w:rFonts w:hint="eastAsia" w:ascii="仿宋_GB2312" w:hAnsi="仿宋_GB2312" w:eastAsia="仿宋_GB2312" w:cs="仿宋_GB2312"/>
          <w:sz w:val="28"/>
          <w:szCs w:val="28"/>
          <w:lang w:val="en-US" w:eastAsia="zh-CN"/>
        </w:rPr>
        <w:t>七、如车辆成交后年检、保险过期由买受人自行办理，费用自理。该车不提供商业险，自行办理。</w:t>
      </w:r>
    </w:p>
    <w:p w14:paraId="2F3703FC">
      <w:pPr>
        <w:keepNext w:val="0"/>
        <w:keepLines w:val="0"/>
        <w:widowControl/>
        <w:suppressLineNumbers w:val="0"/>
        <w:ind w:firstLine="560" w:firstLineChars="200"/>
        <w:jc w:val="left"/>
        <w:rPr>
          <w:rFonts w:hint="eastAsia" w:ascii="仿宋_GB2312" w:hAnsi="仿宋_GB2312" w:eastAsia="仿宋_GB2312" w:cs="仿宋_GB2312"/>
          <w:sz w:val="28"/>
          <w:szCs w:val="28"/>
          <w:lang w:val="en-US" w:eastAsia="zh-CN"/>
        </w:rPr>
      </w:pPr>
    </w:p>
    <w:p w14:paraId="5E876F87">
      <w:pPr>
        <w:keepNext w:val="0"/>
        <w:keepLines w:val="0"/>
        <w:widowControl/>
        <w:suppressLineNumbers w:val="0"/>
        <w:jc w:val="left"/>
        <w:rPr>
          <w:rFonts w:hint="eastAsia" w:ascii="仿宋_GB2312" w:hAnsi="仿宋_GB2312" w:eastAsia="仿宋_GB2312" w:cs="仿宋_GB2312"/>
          <w:sz w:val="28"/>
          <w:szCs w:val="28"/>
        </w:rPr>
      </w:pPr>
    </w:p>
    <w:p w14:paraId="42B0AB54">
      <w:pPr>
        <w:snapToGrid/>
        <w:spacing w:before="0" w:beforeAutospacing="0" w:after="0" w:afterAutospacing="0" w:line="240" w:lineRule="auto"/>
        <w:ind w:firstLine="560" w:firstLineChars="200"/>
        <w:jc w:val="both"/>
        <w:textAlignment w:val="baseline"/>
        <w:rPr>
          <w:rFonts w:hint="eastAsia" w:ascii="仿宋_GB2312" w:hAnsi="仿宋_GB2312" w:eastAsia="仿宋_GB2312" w:cs="仿宋_GB2312"/>
          <w:b w:val="0"/>
          <w:i w:val="0"/>
          <w:caps w:val="0"/>
          <w:spacing w:val="0"/>
          <w:w w:val="100"/>
          <w:sz w:val="28"/>
          <w:szCs w:val="28"/>
          <w:lang w:val="en-US" w:eastAsia="zh-CN"/>
        </w:rPr>
      </w:pPr>
    </w:p>
    <w:p w14:paraId="77629413"/>
    <w:sectPr>
      <w:pgSz w:w="11906" w:h="16838"/>
      <w:pgMar w:top="1440" w:right="1440" w:bottom="1440" w:left="1440"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EFF" w:usb1="C000785B" w:usb2="00000009" w:usb3="00000000" w:csb0="400001FF" w:csb1="FFFF0000"/>
  </w:font>
  <w:font w:name="宋体">
    <w:panose1 w:val="02010600030101010101"/>
    <w:charset w:val="7A"/>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仿宋_GB2312">
    <w:altName w:val="仿宋"/>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仿宋_GB2312">
    <w:altName w:val="仿宋"/>
    <w:panose1 w:val="00000000000000000000"/>
    <w:charset w:val="00"/>
    <w:family w:val="auto"/>
    <w:pitch w:val="default"/>
    <w:sig w:usb0="00000000" w:usb1="00000000" w:usb2="00000000" w:usb3="00000000" w:csb0="00000000"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3DB504BB"/>
    <w:rsid w:val="1BC76B56"/>
    <w:rsid w:val="32CB3495"/>
    <w:rsid w:val="3DB504BB"/>
    <w:rsid w:val="6CB155E2"/>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unhideWhenUsed="0" w:uiPriority="0" w:semiHidden="0" w:name="header"/>
    <w:lsdException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4"/>
      <w:lang w:val="en-US" w:eastAsia="zh-CN" w:bidi="ar-SA"/>
    </w:rPr>
  </w:style>
  <w:style w:type="character" w:default="1" w:styleId="4">
    <w:name w:val="Default Paragraph Font"/>
    <w:semiHidden/>
    <w:uiPriority w:val="0"/>
  </w:style>
  <w:style w:type="table" w:default="1" w:styleId="2">
    <w:name w:val="Normal Table"/>
    <w:semiHidden/>
    <w:qFormat/>
    <w:uiPriority w:val="0"/>
    <w:tblPr>
      <w:tblCellMar>
        <w:top w:w="0" w:type="dxa"/>
        <w:left w:w="108" w:type="dxa"/>
        <w:bottom w:w="0" w:type="dxa"/>
        <w:right w:w="108" w:type="dxa"/>
      </w:tblCellMar>
    </w:tblPr>
  </w:style>
  <w:style w:type="table" w:styleId="3">
    <w:name w:val="Table Grid"/>
    <w:basedOn w:val="2"/>
    <w:uiPriority w:val="0"/>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s>
</file>

<file path=word/_rels/document.xml.rels><?xml version="1.0" encoding="UTF-8" standalone="yes"?>
<Relationships xmlns="http://schemas.openxmlformats.org/package/2006/relationships"><Relationship Id="rId4" Type="http://schemas.openxmlformats.org/officeDocument/2006/relationships/fontTable" Target="fontTable.xml"/><Relationship Id="rId3"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WPS">
  <a:themeElements>
    <a:clrScheme name="WPS">
      <a:dk1>
        <a:sysClr val="windowText" lastClr="000000"/>
      </a:dk1>
      <a:lt1>
        <a:sysClr val="window" lastClr="FFFFFF"/>
      </a:lt1>
      <a:dk2>
        <a:srgbClr val="44546A"/>
      </a:dk2>
      <a:lt2>
        <a:srgbClr val="E7E6E6"/>
      </a:lt2>
      <a:accent1>
        <a:srgbClr val="4874CB"/>
      </a:accent1>
      <a:accent2>
        <a:srgbClr val="EE822F"/>
      </a:accent2>
      <a:accent3>
        <a:srgbClr val="F2BA02"/>
      </a:accent3>
      <a:accent4>
        <a:srgbClr val="75BD42"/>
      </a:accent4>
      <a:accent5>
        <a:srgbClr val="30C0B4"/>
      </a:accent5>
      <a:accent6>
        <a:srgbClr val="E54C5E"/>
      </a:accent6>
      <a:hlink>
        <a:srgbClr val="0026E5"/>
      </a:hlink>
      <a:folHlink>
        <a:srgbClr val="7E1FAD"/>
      </a:folHlink>
    </a:clrScheme>
    <a:fontScheme name="WPS">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WPS">
      <a:fillStyleLst>
        <a:solidFill>
          <a:schemeClr val="phClr"/>
        </a:solidFill>
        <a:gradFill>
          <a:gsLst>
            <a:gs pos="0">
              <a:schemeClr val="phClr">
                <a:lumOff val="17500"/>
              </a:schemeClr>
            </a:gs>
            <a:gs pos="100000">
              <a:schemeClr val="phClr"/>
            </a:gs>
          </a:gsLst>
          <a:lin ang="2700000" scaled="0"/>
        </a:gradFill>
        <a:gradFill>
          <a:gsLst>
            <a:gs pos="0">
              <a:schemeClr val="phClr">
                <a:hueOff val="-2520000"/>
              </a:schemeClr>
            </a:gs>
            <a:gs pos="100000">
              <a:schemeClr val="phClr"/>
            </a:gs>
          </a:gsLst>
          <a:lin ang="2700000" scaled="0"/>
        </a:gradFill>
      </a:fillStyleLst>
      <a:lnStyleLst>
        <a:ln w="12700" cap="flat" cmpd="sng" algn="ctr">
          <a:solidFill>
            <a:schemeClr val="phClr"/>
          </a:solidFill>
          <a:prstDash val="solid"/>
          <a:miter lim="800000"/>
        </a:ln>
        <a:ln w="12700" cap="flat" cmpd="sng" algn="ctr">
          <a:solidFill>
            <a:schemeClr val="phClr"/>
          </a:solidFill>
          <a:prstDash val="solid"/>
          <a:miter lim="800000"/>
        </a:ln>
        <a:ln w="12700" cap="flat" cmpd="sng" algn="ctr">
          <a:gradFill>
            <a:gsLst>
              <a:gs pos="0">
                <a:schemeClr val="phClr">
                  <a:hueOff val="-4200000"/>
                </a:schemeClr>
              </a:gs>
              <a:gs pos="100000">
                <a:schemeClr val="phClr"/>
              </a:gs>
            </a:gsLst>
            <a:lin ang="2700000" scaled="1"/>
          </a:gradFill>
          <a:prstDash val="solid"/>
          <a:miter lim="800000"/>
        </a:ln>
      </a:lnStyleLst>
      <a:effectStyleLst>
        <a:effectStyle>
          <a:effectLst>
            <a:outerShdw blurRad="101600" dist="50800" dir="5400000" algn="ctr" rotWithShape="0">
              <a:schemeClr val="phClr">
                <a:alpha val="60000"/>
              </a:schemeClr>
            </a:outerShdw>
          </a:effectLst>
        </a:effectStyle>
        <a:effectStyle>
          <a:effectLst>
            <a:reflection stA="50000" endA="300" endPos="40000" dist="25400" dir="5400000" sy="-100000" algn="bl" rotWithShape="0"/>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5</Pages>
  <Words>0</Words>
  <Characters>0</Characters>
  <Lines>0</Lines>
  <Paragraphs>0</Paragraphs>
  <TotalTime>1</TotalTime>
  <ScaleCrop>false</ScaleCrop>
  <LinksUpToDate>false</LinksUpToDate>
  <CharactersWithSpaces>0</CharactersWithSpaces>
  <Application>WPS Office_12.1.0.20305_F1E327BC-269C-435d-A152-05C5408002CA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2025-03-19T07:40:00Z</dcterms:created>
  <dc:creator>刘孝良</dc:creator>
  <cp:lastModifiedBy>刘孝良</cp:lastModifiedBy>
  <dcterms:modified xsi:type="dcterms:W3CDTF">2025-03-19T08:47:09Z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2052-12.1.0.20305</vt:lpwstr>
  </property>
  <property fmtid="{D5CDD505-2E9C-101B-9397-08002B2CF9AE}" pid="3" name="ICV">
    <vt:lpwstr>A669E666139146D886517E0E2022EEF3_11</vt:lpwstr>
  </property>
  <property fmtid="{D5CDD505-2E9C-101B-9397-08002B2CF9AE}" pid="4" name="KSOTemplateDocerSaveRecord">
    <vt:lpwstr>eyJoZGlkIjoiZDM1YzdlNjczMzBiZTcxOGU2OTcwYTY0M2E1NzZiZjgiLCJ1c2VySWQiOiIzMzA2MTYxNjkifQ==</vt:lpwstr>
  </property>
</Properties>
</file>